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2270"/>
        <w:gridCol w:w="2563"/>
        <w:gridCol w:w="3361"/>
        <w:gridCol w:w="4218"/>
      </w:tblGrid>
      <w:tr w:rsidR="00D22F78" w:rsidRPr="00EB18CC" w14:paraId="4AD68F72" w14:textId="77777777" w:rsidTr="00D50547">
        <w:trPr>
          <w:trHeight w:val="5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8CC7B8" w14:textId="77777777" w:rsidR="00D22F78" w:rsidRPr="00EB18CC" w:rsidRDefault="00D22F78" w:rsidP="00D50547">
            <w:pPr>
              <w:spacing w:line="240" w:lineRule="auto"/>
              <w:rPr>
                <w:rFonts w:eastAsia="Times New Roman" w:cs="Calibri"/>
                <w:b/>
                <w:color w:val="000000" w:themeColor="text1"/>
                <w:lang w:eastAsia="nl-NL"/>
              </w:rPr>
            </w:pPr>
            <w:r w:rsidRPr="00EB18CC">
              <w:rPr>
                <w:rFonts w:eastAsia="Times New Roman" w:cs="Calibri"/>
                <w:b/>
                <w:color w:val="000000" w:themeColor="text1"/>
                <w:lang w:eastAsia="nl-NL"/>
              </w:rPr>
              <w:t>B1-K1-W</w:t>
            </w:r>
            <w:r>
              <w:rPr>
                <w:rFonts w:eastAsia="Times New Roman" w:cs="Calibri"/>
                <w:b/>
                <w:color w:val="000000" w:themeColor="text1"/>
                <w:lang w:eastAsia="nl-NL"/>
              </w:rPr>
              <w:t>3</w:t>
            </w:r>
            <w:r w:rsidRPr="00EB18CC">
              <w:rPr>
                <w:rFonts w:eastAsia="Times New Roman" w:cs="Calibri"/>
                <w:b/>
                <w:color w:val="000000" w:themeColor="text1"/>
                <w:lang w:eastAsia="nl-NL"/>
              </w:rPr>
              <w:t>: Bereidt de uitvoering van activiteiten voor</w:t>
            </w:r>
          </w:p>
        </w:tc>
      </w:tr>
      <w:tr w:rsidR="00D22F78" w14:paraId="236D1578" w14:textId="77777777" w:rsidTr="00D50547">
        <w:trPr>
          <w:trHeight w:val="1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EBB2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3D8FD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Beginner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herkennen en oriënteren, in samenspraak met begeleider, eenvoudige situatie)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84D22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Gevorderd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toepassen, met directe begeleiding, in een gecontroleerde situatie)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3E86A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Ver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g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evorderd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(i: geautomatiseerd toepassen, zoveel mogelijk zelfstandig met begeleiding op afstand, in alledaagse situaties.)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82D42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Bekwaam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verbanden leggen, zelfstandig besluiten en handelen met collegiale ondersteuning, in complexe situaties en met eenvoudige kindproblematiek)</w:t>
            </w:r>
          </w:p>
        </w:tc>
      </w:tr>
      <w:tr w:rsidR="00D22F78" w14:paraId="03238FE1" w14:textId="77777777" w:rsidTr="00D5054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DD63ED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A4F51F1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075209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3E2E1AF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F8DC2D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D22F78" w14:paraId="3E07458B" w14:textId="77777777" w:rsidTr="00D5054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62F0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Wat doe 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74D82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helpt mee met het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voorbereiden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van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54729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bereidt 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voor aan de hand van de </w:t>
            </w:r>
            <w:r w:rsidRPr="009E6441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methodische cyclus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6D35FA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en kiest passende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 xml:space="preserve"> materialen.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7E3BC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kiest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met een doel en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bereidt 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ze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methodisch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voor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.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Daarbij kies je passende </w:t>
            </w:r>
            <w:r w:rsidRPr="006D35FA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materialen.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87618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kiest 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uit die passen bij de doelen en de doelgroep. Je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bereidt ze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methodisch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voor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, waarbij je rekening houdt met onvoorziene omstandigheden.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Je kiest en bereidt materialen voor die passen bij het doel van je activiteit.</w:t>
            </w:r>
          </w:p>
        </w:tc>
      </w:tr>
      <w:tr w:rsidR="00D22F78" w14:paraId="50D417AC" w14:textId="77777777" w:rsidTr="00D50547">
        <w:trPr>
          <w:trHeight w:val="8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C2A2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Met welke beroepshouding?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E923A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creatief en zorgvuldig.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C7895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creatief en durft te experimenteren. Je bent zorgvuldig.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AF135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nauwkeurig, creatief en onderzoekend. Je schat complexe situaties meestal juist in.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43939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nauwkeurig, creatief en onderzoekend. Je weegt complexe situaties zorgvuldig af.</w:t>
            </w:r>
          </w:p>
        </w:tc>
      </w:tr>
      <w:tr w:rsidR="00D22F78" w14:paraId="69CCA087" w14:textId="77777777" w:rsidTr="00D50547">
        <w:trPr>
          <w:trHeight w:val="113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39D04C3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D22F78" w14:paraId="4BA5E2F4" w14:textId="77777777" w:rsidTr="00D50547">
        <w:trPr>
          <w:trHeight w:val="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4643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i: </w:t>
            </w:r>
            <w:r w:rsidRPr="00DE0922">
              <w:rPr>
                <w:rFonts w:eastAsia="Times New Roman" w:cs="Calibri"/>
                <w:b/>
                <w:i/>
                <w:iCs/>
                <w:color w:val="000000"/>
                <w:sz w:val="18"/>
                <w:szCs w:val="18"/>
                <w:lang w:eastAsia="nl-NL"/>
              </w:rPr>
              <w:t>Activiteit bepalen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F75C5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hebt een beeld van de doelgroep en hun ontwikkeling. Je kiest meestal activiteiten die hierbij aansluiten.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bepaalt on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t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wikkelingsdoelen voor verschillende doelgroepen. Je kiest passende activiteiten uit een breed assortiment aan activiteiten om de ontwikkeling te stimuleren.</w:t>
            </w:r>
          </w:p>
        </w:tc>
      </w:tr>
      <w:tr w:rsidR="00D22F78" w14:paraId="2D968487" w14:textId="77777777" w:rsidTr="00D50547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830F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i: </w:t>
            </w:r>
            <w:r w:rsidRPr="00DE0922">
              <w:rPr>
                <w:rFonts w:eastAsia="Times New Roman" w:cs="Calibri"/>
                <w:b/>
                <w:i/>
                <w:iCs/>
                <w:color w:val="000000"/>
                <w:sz w:val="18"/>
                <w:szCs w:val="18"/>
                <w:lang w:eastAsia="nl-NL"/>
              </w:rPr>
              <w:t>Materialen voorbereiden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096D0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verzamelt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en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bereidt passende materialen voor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waarvan je gebruik maakt tijdens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de activiteiten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.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De materialen prikkelen de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ontwikkeling en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creativiteit van de doelgroep.</w:t>
            </w:r>
          </w:p>
        </w:tc>
      </w:tr>
      <w:tr w:rsidR="00D22F78" w14:paraId="2423F7A8" w14:textId="77777777" w:rsidTr="00D50547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627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i: </w:t>
            </w:r>
            <w:r w:rsidRPr="00DE0922">
              <w:rPr>
                <w:rFonts w:eastAsia="Times New Roman" w:cs="Calibri"/>
                <w:b/>
                <w:i/>
                <w:iCs/>
                <w:color w:val="000000"/>
                <w:sz w:val="18"/>
                <w:szCs w:val="18"/>
                <w:lang w:eastAsia="nl-NL"/>
              </w:rPr>
              <w:t>Methodisch werken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DF81B" w14:textId="77777777" w:rsidR="00D22F78" w:rsidRPr="009E6441" w:rsidRDefault="00D22F78" w:rsidP="00D5054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organiseert met behulp van een plan van aanpak volgens de methodische cyclus verschillende activiteite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n.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. Er is ruimte in de planning voor onvoorziene omstandigheden. </w:t>
            </w:r>
          </w:p>
        </w:tc>
      </w:tr>
      <w:tr w:rsidR="00D22F78" w14:paraId="3774CC0E" w14:textId="77777777" w:rsidTr="00D50547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2E0BC54" w14:textId="77777777" w:rsidR="00D22F78" w:rsidRPr="00EB18CC" w:rsidRDefault="00D22F78" w:rsidP="00D50547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</w:pPr>
            <w:r w:rsidRPr="00EB18CC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nl-NL"/>
              </w:rPr>
              <w:t xml:space="preserve">Leerdoel geel: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A5A341" w14:textId="77777777" w:rsidR="00D22F78" w:rsidRPr="00EB18CC" w:rsidRDefault="00D22F78" w:rsidP="00D5054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577D2DA2" w14:textId="77777777" w:rsidR="0054360A" w:rsidRDefault="0054360A"/>
    <w:sectPr w:rsidR="0054360A" w:rsidSect="00D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78"/>
    <w:rsid w:val="0054360A"/>
    <w:rsid w:val="00D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760"/>
  <w15:chartTrackingRefBased/>
  <w15:docId w15:val="{990EFF1D-408F-42AA-A80E-FC3E3160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F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2022-04-25T12:53:00Z</dcterms:created>
  <dcterms:modified xsi:type="dcterms:W3CDTF">2022-04-25T12:53:00Z</dcterms:modified>
</cp:coreProperties>
</file>